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CDDC" w:themeColor="accent5" w:themeTint="99"/>
  <w:body>
    <w:p w14:paraId="4C194DB3" w14:textId="77777777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  <w:bookmarkStart w:id="0" w:name="_GoBack"/>
      <w:bookmarkEnd w:id="0"/>
      <w:r>
        <w:rPr>
          <w:rFonts w:ascii="AGaramondPro-Bold" w:hAnsi="AGaramondPro-Bold" w:cs="AGaramondPro-Bold"/>
          <w:b/>
          <w:bCs/>
          <w:sz w:val="33"/>
          <w:szCs w:val="33"/>
        </w:rPr>
        <w:t>Nouvelle Revue Théologique</w:t>
      </w:r>
    </w:p>
    <w:p w14:paraId="01C6A63F" w14:textId="77777777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color w:val="670000"/>
        </w:rPr>
      </w:pPr>
      <w:r>
        <w:rPr>
          <w:rFonts w:ascii="MyriadPro-BlackCond" w:hAnsi="MyriadPro-BlackCond" w:cs="MyriadPro-BlackCond"/>
          <w:color w:val="670000"/>
        </w:rPr>
        <w:t>Tome 140 n</w:t>
      </w:r>
      <w:r>
        <w:rPr>
          <w:rFonts w:ascii="MyriadPro-BlackCond" w:hAnsi="MyriadPro-BlackCond" w:cs="MyriadPro-BlackCond"/>
          <w:color w:val="670000"/>
          <w:sz w:val="14"/>
          <w:szCs w:val="14"/>
        </w:rPr>
        <w:t xml:space="preserve">o </w:t>
      </w:r>
      <w:r>
        <w:rPr>
          <w:rFonts w:ascii="MyriadPro-BlackCond" w:hAnsi="MyriadPro-BlackCond" w:cs="MyriadPro-BlackCond"/>
          <w:color w:val="670000"/>
        </w:rPr>
        <w:t>2</w:t>
      </w:r>
    </w:p>
    <w:p w14:paraId="3CE47DAD" w14:textId="77777777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  <w:r>
        <w:rPr>
          <w:rFonts w:ascii="MyriadPro-BlackCond" w:hAnsi="MyriadPro-BlackCond" w:cs="MyriadPro-BlackCond"/>
          <w:color w:val="670000"/>
        </w:rPr>
        <w:t>AVRIL-JUIN 2018</w:t>
      </w:r>
    </w:p>
    <w:p w14:paraId="7D8C8D62" w14:textId="77777777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</w:p>
    <w:p w14:paraId="01E785F8" w14:textId="6AD6630B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  <w:r>
        <w:rPr>
          <w:rFonts w:ascii="AGaramondPro-Regular" w:hAnsi="AGaramondPro-Regular" w:cs="AGaramondPro-Regular"/>
          <w:color w:val="000000"/>
          <w:sz w:val="24"/>
          <w:szCs w:val="24"/>
        </w:rPr>
        <w:t>A. CHAPELLE s.j. (†)</w:t>
      </w:r>
    </w:p>
    <w:p w14:paraId="2A0B34B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  <w:r w:rsidRPr="00A90D24">
        <w:rPr>
          <w:rFonts w:ascii="AGaramondPro-Bold" w:hAnsi="AGaramondPro-Bold" w:cs="AGaramondPro-Bold"/>
          <w:b/>
          <w:bCs/>
          <w:sz w:val="33"/>
          <w:szCs w:val="33"/>
        </w:rPr>
        <w:t>Ce peuple sans nom manifeste la vérité</w:t>
      </w:r>
    </w:p>
    <w:p w14:paraId="0AF21E1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  <w:r w:rsidRPr="00A90D24">
        <w:rPr>
          <w:rFonts w:ascii="AGaramondPro-Bold" w:hAnsi="AGaramondPro-Bold" w:cs="AGaramondPro-Bold"/>
          <w:b/>
          <w:bCs/>
          <w:sz w:val="33"/>
          <w:szCs w:val="33"/>
        </w:rPr>
        <w:t>de l’homme ». ATD Quart Monde,</w:t>
      </w:r>
    </w:p>
    <w:p w14:paraId="0579E98C" w14:textId="3DA27A0F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  <w:r w:rsidRPr="00A90D24">
        <w:rPr>
          <w:rFonts w:ascii="AGaramondPro-Bold" w:hAnsi="AGaramondPro-Bold" w:cs="AGaramondPro-Bold"/>
          <w:b/>
          <w:bCs/>
          <w:sz w:val="33"/>
          <w:szCs w:val="33"/>
        </w:rPr>
        <w:t>une pensée sociale au service des hommes</w:t>
      </w:r>
    </w:p>
    <w:p w14:paraId="1D315C0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</w:p>
    <w:p w14:paraId="31015D6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Ce texte, conservé dans les archives d’ATD</w:t>
      </w:r>
      <w:r w:rsidRPr="00A90D24">
        <w:rPr>
          <w:rFonts w:ascii="AGaramondPro-Italic" w:hAnsi="AGaramondPro-Italic" w:cs="AGaramondPro-Italic"/>
          <w:i/>
          <w:iCs/>
          <w:sz w:val="16"/>
          <w:szCs w:val="16"/>
        </w:rPr>
        <w:t xml:space="preserve">1 </w:t>
      </w: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Quart Monde et resté</w:t>
      </w:r>
    </w:p>
    <w:p w14:paraId="1C680A9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jusqu’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à </w:t>
      </w: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aujourd’hui inédit, est l’intervention donnée en avril 1975 par</w:t>
      </w:r>
    </w:p>
    <w:p w14:paraId="5E6AE6B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le père Albert Chapelle (1929-2003) à l’occasion d’une conférence du</w:t>
      </w:r>
    </w:p>
    <w:p w14:paraId="4623077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p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ère Joseph </w:t>
      </w: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Wresinski, fondateur d’ATD, aux professeurs et étudiants</w:t>
      </w:r>
    </w:p>
    <w:p w14:paraId="48E1AD5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de l’Institut d’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études théologiques </w:t>
      </w: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de Bruxelles, au cours d’un séminaire</w:t>
      </w:r>
    </w:p>
    <w:p w14:paraId="14C4491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de théologie consacré à l’amour des pauvres</w:t>
      </w:r>
      <w:r w:rsidRPr="00A90D24">
        <w:rPr>
          <w:rFonts w:ascii="AGaramondPro-Italic" w:hAnsi="AGaramondPro-Italic" w:cs="AGaramondPro-Italic"/>
          <w:i/>
          <w:iCs/>
          <w:sz w:val="16"/>
          <w:szCs w:val="16"/>
        </w:rPr>
        <w:t>2</w:t>
      </w: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.</w:t>
      </w:r>
    </w:p>
    <w:p w14:paraId="4934A05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Albert Chapelle se penche sur le projet de société porté par le mouvement</w:t>
      </w:r>
    </w:p>
    <w:p w14:paraId="02F8112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ATD Quart Monde, en se basant notamment sur la revue</w:t>
      </w:r>
    </w:p>
    <w:p w14:paraId="01B7066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Igloos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dont le numéro 84 (1975) était intitulé : « Le Mouvement Aide</w:t>
      </w:r>
    </w:p>
    <w:p w14:paraId="657E1D6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à Toute Détresse. Science et Service. Une idéologie au service des hommes.</w:t>
      </w:r>
    </w:p>
    <w:p w14:paraId="3239C8E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Essais d’analyse ». Comme le rappelle Albert Chapelle, ce dernier texte</w:t>
      </w:r>
    </w:p>
    <w:p w14:paraId="6DDE3B9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était une réponse d’ATD à un article de Claude Liscia et Françoise Orlic</w:t>
      </w:r>
    </w:p>
    <w:p w14:paraId="01A0BD4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dans la prestigieuse revue </w:t>
      </w:r>
      <w:r w:rsidRPr="00A90D24">
        <w:rPr>
          <w:rFonts w:ascii="AGaramondPro-Regular" w:hAnsi="AGaramondPro-Regular" w:cs="AGaramondPro-Regular"/>
          <w:sz w:val="23"/>
          <w:szCs w:val="23"/>
        </w:rPr>
        <w:t>Les Temps Modernes</w:t>
      </w:r>
      <w:r w:rsidRPr="00A90D24">
        <w:rPr>
          <w:rFonts w:ascii="AGaramondPro-Italic" w:hAnsi="AGaramondPro-Italic" w:cs="AGaramondPro-Italic"/>
          <w:i/>
          <w:iCs/>
          <w:sz w:val="15"/>
          <w:szCs w:val="15"/>
        </w:rPr>
        <w:t>3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, sur les cités de transit</w:t>
      </w:r>
    </w:p>
    <w:p w14:paraId="0E89902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où le mouvement ATD était présent.</w:t>
      </w:r>
    </w:p>
    <w:p w14:paraId="4E6CEA3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Le manuscrit contient une annotation qui semble être de la main de</w:t>
      </w:r>
    </w:p>
    <w:p w14:paraId="4361F31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Mascha Join-Lambert précisant que « ce texte n’est pas pour l’</w:t>
      </w:r>
      <w:r w:rsidRPr="00A90D24">
        <w:rPr>
          <w:rFonts w:ascii="AGaramondPro-Regular" w:hAnsi="AGaramondPro-Regular" w:cs="AGaramondPro-Regular"/>
          <w:sz w:val="23"/>
          <w:szCs w:val="23"/>
        </w:rPr>
        <w:t xml:space="preserve">Igloos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religieux</w:t>
      </w:r>
    </w:p>
    <w:p w14:paraId="1FB8B1C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mais pour un futur numéro politique ». Il n’a cependant jamais été</w:t>
      </w:r>
    </w:p>
    <w:p w14:paraId="0B89A82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publié. Le jubilé de l’Institut d’études théologiques, fondé en 1968, et le</w:t>
      </w:r>
    </w:p>
    <w:p w14:paraId="3B0530E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trentième anniversaire de la mort du père Joseph Wresinski (1917-1988)</w:t>
      </w:r>
    </w:p>
    <w:p w14:paraId="5132832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sont autant d’opportunités qui permettent de reprendre à la source l’originalité</w:t>
      </w:r>
    </w:p>
    <w:p w14:paraId="19DE82E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de ce mouvement au plan politique, social et théologique.</w:t>
      </w:r>
    </w:p>
    <w:p w14:paraId="08519F6F" w14:textId="29F1D387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4"/>
          <w:szCs w:val="14"/>
        </w:rPr>
      </w:pPr>
      <w:r w:rsidRPr="00A90D24">
        <w:rPr>
          <w:rFonts w:ascii="AGaramondPro-Regular" w:hAnsi="AGaramondPro-Regular" w:cs="AGaramondPro-Regular"/>
        </w:rPr>
        <w:t>Jean Tonglet</w:t>
      </w:r>
      <w:r w:rsidRPr="00A90D24">
        <w:rPr>
          <w:rFonts w:ascii="AGaramondPro-Regular" w:hAnsi="AGaramondPro-Regular" w:cs="AGaramondPro-Regular"/>
          <w:sz w:val="14"/>
          <w:szCs w:val="14"/>
        </w:rPr>
        <w:t>4</w:t>
      </w:r>
    </w:p>
    <w:p w14:paraId="3D4CA5A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4"/>
          <w:szCs w:val="14"/>
        </w:rPr>
      </w:pPr>
    </w:p>
    <w:p w14:paraId="3301812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Le numéro 84 de la revue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Igloos </w:t>
      </w:r>
      <w:r w:rsidRPr="00A90D24">
        <w:rPr>
          <w:rFonts w:ascii="AGaramondPro-Regular" w:hAnsi="AGaramondPro-Regular" w:cs="AGaramondPro-Regular"/>
          <w:sz w:val="23"/>
          <w:szCs w:val="23"/>
        </w:rPr>
        <w:t>(1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er </w:t>
      </w:r>
      <w:r w:rsidRPr="00A90D24">
        <w:rPr>
          <w:rFonts w:ascii="AGaramondPro-Regular" w:hAnsi="AGaramondPro-Regular" w:cs="AGaramondPro-Regular"/>
          <w:sz w:val="23"/>
          <w:szCs w:val="23"/>
        </w:rPr>
        <w:t>trimestre 1975) est intitulé :</w:t>
      </w:r>
    </w:p>
    <w:p w14:paraId="5BC4440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Le Mouvement Aide à Toute Détresse, une idéologie au service des</w:t>
      </w:r>
    </w:p>
    <w:p w14:paraId="1371B2D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hommes. Essais d’analyse ». Ce numéro met en parallèle une analyse</w:t>
      </w:r>
    </w:p>
    <w:p w14:paraId="0BE742E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de la revue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Les Temps Modernes</w:t>
      </w:r>
      <w:r w:rsidRPr="00A90D24">
        <w:rPr>
          <w:rFonts w:ascii="AGaramondPro-Regular" w:hAnsi="AGaramondPro-Regular" w:cs="AGaramondPro-Regular"/>
          <w:sz w:val="23"/>
          <w:szCs w:val="23"/>
        </w:rPr>
        <w:t>, qui comprend le mouvement créé par</w:t>
      </w:r>
    </w:p>
    <w:p w14:paraId="41FDFBA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p. Joseph Wresinski à sa façon, et la manière dont ATD se comprend</w:t>
      </w:r>
    </w:p>
    <w:p w14:paraId="47ACBCF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lui-même. À partir de cette étude, je voudrais faire percevoir</w:t>
      </w:r>
    </w:p>
    <w:p w14:paraId="48DA348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l’originalité de la vision et du projet de société qui est proposé par</w:t>
      </w:r>
    </w:p>
    <w:p w14:paraId="761D44D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ATD par rapport à ce que sont les divers avatars modernes du libéralisme,</w:t>
      </w:r>
    </w:p>
    <w:p w14:paraId="5BE65E8B" w14:textId="407AE52F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y compris son contraire logique, le marxisme.</w:t>
      </w:r>
    </w:p>
    <w:p w14:paraId="45B711C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2FC5D92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Italic" w:hAnsi="AGaramondPro-BoldItalic" w:cs="AGaramondPro-BoldItalic"/>
          <w:b/>
          <w:bCs/>
          <w:i/>
          <w:iCs/>
          <w:sz w:val="24"/>
          <w:szCs w:val="24"/>
        </w:rPr>
      </w:pPr>
      <w:r w:rsidRPr="00A90D24">
        <w:rPr>
          <w:rFonts w:ascii="AGaramondPro-Bold" w:hAnsi="AGaramondPro-Bold" w:cs="AGaramondPro-Bold"/>
          <w:b/>
          <w:bCs/>
          <w:sz w:val="24"/>
          <w:szCs w:val="24"/>
        </w:rPr>
        <w:t xml:space="preserve">I. — L’analyse d’ATD par </w:t>
      </w:r>
      <w:r w:rsidRPr="00A90D24">
        <w:rPr>
          <w:rFonts w:ascii="AGaramondPro-BoldItalic" w:hAnsi="AGaramondPro-BoldItalic" w:cs="AGaramondPro-BoldItalic"/>
          <w:b/>
          <w:bCs/>
          <w:i/>
          <w:iCs/>
          <w:sz w:val="24"/>
          <w:szCs w:val="24"/>
        </w:rPr>
        <w:t>Les Temps Modernes</w:t>
      </w:r>
    </w:p>
    <w:p w14:paraId="5427B0A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Le travail des deux journalistes des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Temps Modernes </w:t>
      </w:r>
      <w:r w:rsidRPr="00A90D24">
        <w:rPr>
          <w:rFonts w:ascii="AGaramondPro-Regular" w:hAnsi="AGaramondPro-Regular" w:cs="AGaramondPro-Regular"/>
          <w:sz w:val="23"/>
          <w:szCs w:val="23"/>
        </w:rPr>
        <w:t>est intitulé :</w:t>
      </w:r>
    </w:p>
    <w:p w14:paraId="11B03B6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Les cités de transit : un grand renfermement ». Il s’agit de se pencher</w:t>
      </w:r>
    </w:p>
    <w:p w14:paraId="30E39E4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sur le sens des cités de transit (qui ne sont pas tout à fait des cités</w:t>
      </w:r>
    </w:p>
    <w:p w14:paraId="273B1A8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promotionnelles, mais qui ne sont pas non plus des cités d’urgence</w:t>
      </w:r>
      <w:r w:rsidRPr="00A90D24">
        <w:rPr>
          <w:rFonts w:ascii="AGaramondPro-Regular" w:hAnsi="AGaramondPro-Regular" w:cs="AGaramondPro-Regular"/>
          <w:sz w:val="15"/>
          <w:szCs w:val="15"/>
        </w:rPr>
        <w:t>5</w:t>
      </w:r>
      <w:r w:rsidRPr="00A90D24">
        <w:rPr>
          <w:rFonts w:ascii="AGaramondPro-Regular" w:hAnsi="AGaramondPro-Regular" w:cs="AGaramondPro-Regular"/>
          <w:sz w:val="23"/>
          <w:szCs w:val="23"/>
        </w:rPr>
        <w:t>)</w:t>
      </w:r>
    </w:p>
    <w:p w14:paraId="21756AA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où les auteurs voient un « renfermement » de la population la plus</w:t>
      </w:r>
    </w:p>
    <w:p w14:paraId="3088AE8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défavorisée</w:t>
      </w:r>
      <w:r w:rsidRPr="00A90D24">
        <w:rPr>
          <w:rFonts w:ascii="AGaramondPro-Regular" w:hAnsi="AGaramondPro-Regular" w:cs="AGaramondPro-Regular"/>
          <w:sz w:val="15"/>
          <w:szCs w:val="15"/>
        </w:rPr>
        <w:t>6</w:t>
      </w:r>
      <w:r w:rsidRPr="00A90D24">
        <w:rPr>
          <w:rFonts w:ascii="AGaramondPro-Regular" w:hAnsi="AGaramondPro-Regular" w:cs="AGaramondPro-Regular"/>
          <w:sz w:val="23"/>
          <w:szCs w:val="23"/>
        </w:rPr>
        <w:t xml:space="preserve">. L’idée fondamentale des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Temps Modernes </w:t>
      </w:r>
      <w:r w:rsidRPr="00A90D24">
        <w:rPr>
          <w:rFonts w:ascii="AGaramondPro-Regular" w:hAnsi="AGaramondPro-Regular" w:cs="AGaramondPro-Regular"/>
          <w:sz w:val="23"/>
          <w:szCs w:val="23"/>
        </w:rPr>
        <w:t>est présentée</w:t>
      </w:r>
    </w:p>
    <w:p w14:paraId="069C5D8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dans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Igloos </w:t>
      </w:r>
      <w:r w:rsidRPr="00A90D24">
        <w:rPr>
          <w:rFonts w:ascii="AGaramondPro-Regular" w:hAnsi="AGaramondPro-Regular" w:cs="AGaramondPro-Regular"/>
          <w:sz w:val="23"/>
          <w:szCs w:val="23"/>
        </w:rPr>
        <w:t>de manière double (il y a deux parties dans cet exposé) :</w:t>
      </w:r>
    </w:p>
    <w:p w14:paraId="37BD519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1) l’élaboration d’une théorie de la cité de transit (p. 56 à 67) ;</w:t>
      </w:r>
    </w:p>
    <w:p w14:paraId="74EF311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2) comment les pouvoirs publics, avec l’aide d’ATD, reprennent ce</w:t>
      </w:r>
    </w:p>
    <w:p w14:paraId="173B4482" w14:textId="39AE15F9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modèle (p. 67 à 95).</w:t>
      </w:r>
    </w:p>
    <w:p w14:paraId="668DC7C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57BFDA2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Regular" w:hAnsi="AGaramondPro-Regular" w:cs="AGaramondPro-Regular"/>
          <w:sz w:val="24"/>
          <w:szCs w:val="24"/>
        </w:rPr>
        <w:t xml:space="preserve">1. </w:t>
      </w: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L’élaboration d’une théorie de la cité de transit</w:t>
      </w:r>
    </w:p>
    <w:p w14:paraId="762133C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Dans l’élaboration de la théorie selon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Les Temps Modernes</w:t>
      </w:r>
      <w:r w:rsidRPr="00A90D24">
        <w:rPr>
          <w:rFonts w:ascii="AGaramondPro-Regular" w:hAnsi="AGaramondPro-Regular" w:cs="AGaramondPro-Regular"/>
          <w:sz w:val="23"/>
          <w:szCs w:val="23"/>
        </w:rPr>
        <w:t>, trois</w:t>
      </w:r>
    </w:p>
    <w:p w14:paraId="72CD48A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points seraient significatifs.</w:t>
      </w:r>
    </w:p>
    <w:p w14:paraId="4869921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ATD, l’habitat est lié au travail social : le problème est donc</w:t>
      </w:r>
    </w:p>
    <w:p w14:paraId="1515C78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posé en termes sociologiques et est lié au problème du travail (p. 57).</w:t>
      </w:r>
    </w:p>
    <w:p w14:paraId="40BAACF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On passe de la notion de « naufragés économiques » à la notion de</w:t>
      </w:r>
    </w:p>
    <w:p w14:paraId="548B922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cas sociaux », c’est-à-dire que l’on ne prend pas sérieusement en</w:t>
      </w:r>
    </w:p>
    <w:p w14:paraId="09736C2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considération le domaine économique ; de plus, la réalité sociale est</w:t>
      </w:r>
    </w:p>
    <w:p w14:paraId="2C095A5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atomisée en « cas » plus ou moins individuels. Ce qui correspond</w:t>
      </w:r>
    </w:p>
    <w:p w14:paraId="7DDC196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d’ailleurs à la privatisation par l’État de l’action ou plutôt du</w:t>
      </w:r>
    </w:p>
    <w:p w14:paraId="7FC7045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contrôle » social (p. 54).</w:t>
      </w:r>
    </w:p>
    <w:p w14:paraId="10FE76E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Plusieurs filières de l’habitat sont prévues mais en fonction d’un</w:t>
      </w:r>
    </w:p>
    <w:p w14:paraId="0D24CBD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handicap gradué » (p. 64). On substitue la notion « individualiste et</w:t>
      </w:r>
    </w:p>
    <w:p w14:paraId="57ACF95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privatisante » du handicap à ce qui, en fait, est un problème socioéconomique.</w:t>
      </w:r>
    </w:p>
    <w:p w14:paraId="21E5FFE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Cette privatisation implique l’émergence dans les</w:t>
      </w:r>
    </w:p>
    <w:p w14:paraId="0F9637F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réflexions d’ATD des notions caractéristiques de « socialité » et de</w:t>
      </w:r>
    </w:p>
    <w:p w14:paraId="10ED3D9F" w14:textId="6835DA5B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moralité » (p. 61).</w:t>
      </w:r>
    </w:p>
    <w:p w14:paraId="7506D6A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7861B62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Regular" w:hAnsi="AGaramondPro-Regular" w:cs="AGaramondPro-Regular"/>
          <w:sz w:val="24"/>
          <w:szCs w:val="24"/>
        </w:rPr>
        <w:t xml:space="preserve">2. </w:t>
      </w: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Quand les pouvoirs publics mettent en oeuvre ce modèle</w:t>
      </w:r>
    </w:p>
    <w:p w14:paraId="5795FB9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poids des critères économiques est objectivement déterminant</w:t>
      </w:r>
    </w:p>
    <w:p w14:paraId="2FE2A33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dans l’évaluation de ce qui est social ou de ce qui ne l’est pas (p. 69).</w:t>
      </w:r>
    </w:p>
    <w:p w14:paraId="249BF4A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Tout l’effort de l’analyse des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Temps Modernes </w:t>
      </w:r>
      <w:r w:rsidRPr="00A90D24">
        <w:rPr>
          <w:rFonts w:ascii="AGaramondPro-Regular" w:hAnsi="AGaramondPro-Regular" w:cs="AGaramondPro-Regular"/>
          <w:sz w:val="23"/>
          <w:szCs w:val="23"/>
        </w:rPr>
        <w:t>consiste à repérer les</w:t>
      </w:r>
    </w:p>
    <w:p w14:paraId="0E069B8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éléments proprement économiques et ceux qui ne le sont pas dans la</w:t>
      </w:r>
    </w:p>
    <w:p w14:paraId="2E89DF4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manière dont le problème est posé et à déterminer, à partir de ces</w:t>
      </w:r>
    </w:p>
    <w:p w14:paraId="7A47F1C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critères économiques, l’ensemble des autres données. Une deuxième</w:t>
      </w:r>
    </w:p>
    <w:p w14:paraId="3513153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partie tente, à cette lumière, d’analyser « l’action globalisée diversifiée</w:t>
      </w:r>
    </w:p>
    <w:p w14:paraId="3822BCF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selon le type d’adaptation » (p. 72). On va parler de « travail social »,</w:t>
      </w:r>
    </w:p>
    <w:p w14:paraId="27B860F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c’est ici que l’on analyse le rôle d’ATD comme « un instrument</w:t>
      </w:r>
    </w:p>
    <w:p w14:paraId="676BD82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la maîtrise de la subversion de l’ordre bourgeois » (p. 79).</w:t>
      </w:r>
    </w:p>
    <w:p w14:paraId="2F4FA7B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Pourquoi ? Parce qu’on y met l’esprit de compétition ; on remet en</w:t>
      </w:r>
    </w:p>
    <w:p w14:paraId="1DE1A14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valeur la famille nucléaire en passant de « gardiens-éducateurs » à</w:t>
      </w:r>
    </w:p>
    <w:p w14:paraId="73F5B29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parents-éducateurs » (p. 82-87) ; on lie finalement logement, famille</w:t>
      </w:r>
    </w:p>
    <w:p w14:paraId="33D0CD0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morale (p. 93), ce qui indique qu’ATD a un rôle plus fondamentalement</w:t>
      </w:r>
    </w:p>
    <w:p w14:paraId="6C5669B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intégrateur à la société globale que ne l’ont les entreprises</w:t>
      </w:r>
    </w:p>
    <w:p w14:paraId="4A22B26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du pouvoir de l’État lui-même (p. 90).</w:t>
      </w:r>
    </w:p>
    <w:p w14:paraId="3023DFB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Selon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Les Temps Modernes</w:t>
      </w:r>
      <w:r w:rsidRPr="00A90D24">
        <w:rPr>
          <w:rFonts w:ascii="AGaramondPro-Regular" w:hAnsi="AGaramondPro-Regular" w:cs="AGaramondPro-Regular"/>
          <w:sz w:val="23"/>
          <w:szCs w:val="23"/>
        </w:rPr>
        <w:t>, le lien du quart monde avec le problème</w:t>
      </w:r>
    </w:p>
    <w:p w14:paraId="6B4AE47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du travail, le problème économique, et la division en classes sociales</w:t>
      </w:r>
    </w:p>
    <w:p w14:paraId="332CB4A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(p. 58) n’aurait pas été suffisamment respecté par ATD. De ce fait,</w:t>
      </w:r>
    </w:p>
    <w:p w14:paraId="551A4BE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objectivement et quelles que soient les intentions », ce sont des</w:t>
      </w:r>
    </w:p>
    <w:p w14:paraId="6CDE6E0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valeurs bourgeoises, dont l’État est le garant, qu’ATD véhiculerait :</w:t>
      </w:r>
    </w:p>
    <w:p w14:paraId="2C2EDFB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famille, logement (qui n’est pas collectif ), remoralisation, éducation…</w:t>
      </w:r>
    </w:p>
    <w:p w14:paraId="1D49A17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ATD se ferait, avec le pivot culturel et d’autres activités, l’auxiliaire</w:t>
      </w:r>
    </w:p>
    <w:p w14:paraId="2CC3086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 appareils idéologiques d’État comme l’école, etc.</w:t>
      </w:r>
    </w:p>
    <w:p w14:paraId="512517A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question n’est pas seulement d’importance du point de vue théorique,</w:t>
      </w:r>
    </w:p>
    <w:p w14:paraId="170A28A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quant à la valeur respective de l’analyse et du projet de société</w:t>
      </w:r>
    </w:p>
    <w:p w14:paraId="098C67E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en cours dans ATD et de l’analyse des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Temps Modernes </w:t>
      </w:r>
      <w:r w:rsidRPr="00A90D24">
        <w:rPr>
          <w:rFonts w:ascii="AGaramondPro-Regular" w:hAnsi="AGaramondPro-Regular" w:cs="AGaramondPro-Regular"/>
          <w:sz w:val="23"/>
          <w:szCs w:val="23"/>
        </w:rPr>
        <w:t>fortement</w:t>
      </w:r>
    </w:p>
    <w:p w14:paraId="6A7A870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inspirée par le marxisme</w:t>
      </w:r>
      <w:r w:rsidRPr="00A90D24">
        <w:rPr>
          <w:rFonts w:ascii="AGaramondPro-Regular" w:hAnsi="AGaramondPro-Regular" w:cs="AGaramondPro-Regular"/>
          <w:sz w:val="15"/>
          <w:szCs w:val="15"/>
        </w:rPr>
        <w:t>7</w:t>
      </w:r>
      <w:r w:rsidRPr="00A90D24">
        <w:rPr>
          <w:rFonts w:ascii="AGaramondPro-Regular" w:hAnsi="AGaramondPro-Regular" w:cs="AGaramondPro-Regular"/>
          <w:sz w:val="23"/>
          <w:szCs w:val="23"/>
        </w:rPr>
        <w:t>. Elle est aussi capitale quant à l’action pratique</w:t>
      </w:r>
    </w:p>
    <w:p w14:paraId="799B9C7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entreprise et à entreprendre.</w:t>
      </w:r>
    </w:p>
    <w:p w14:paraId="61CD870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L’intérêt de la réponse d’ATD n’est pas seulement de rappeler certaines</w:t>
      </w:r>
    </w:p>
    <w:p w14:paraId="24C1C14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réalités » d’un peuple qui remet tout en cause, y compris le</w:t>
      </w:r>
    </w:p>
    <w:p w14:paraId="3820A14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type d’analyse présenté (p. 139-155). Nous renvoyons sur la question</w:t>
      </w:r>
    </w:p>
    <w:p w14:paraId="56D8DF0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des faits à l’ensemble des pages 100 à 155 de la revue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Igloos</w:t>
      </w:r>
      <w:r w:rsidRPr="00A90D24">
        <w:rPr>
          <w:rFonts w:ascii="AGaramondPro-Regular" w:hAnsi="AGaramondPro-Regular" w:cs="AGaramondPro-Regular"/>
          <w:sz w:val="23"/>
          <w:szCs w:val="23"/>
        </w:rPr>
        <w:t>. La valeur</w:t>
      </w:r>
    </w:p>
    <w:p w14:paraId="58F0605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la réponse d’ATD consiste à dégager la « signification politique »</w:t>
      </w:r>
    </w:p>
    <w:p w14:paraId="18ACB2D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d’un peuple exclu (p. 100-137) en élaborant la théorie à partir d’une</w:t>
      </w:r>
    </w:p>
    <w:p w14:paraId="34549AC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pratique sociale concrète, réfléchie et déterminée.</w:t>
      </w:r>
    </w:p>
    <w:p w14:paraId="2CC357A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manière dont ATD répond est caractéristique de son respect de</w:t>
      </w:r>
    </w:p>
    <w:p w14:paraId="5D068FD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principe pour les personnes et pour les données.</w:t>
      </w:r>
    </w:p>
    <w:p w14:paraId="5FC7F8D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- Quelle est d’abord la population concernée ? C’est un peuple privé</w:t>
      </w:r>
    </w:p>
    <w:p w14:paraId="15A2985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d’identité où le paupérisme réduit la chance de la solidarité.</w:t>
      </w:r>
    </w:p>
    <w:p w14:paraId="19BA1C1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- Une critique constructive de la pratique des autorités publiques</w:t>
      </w:r>
    </w:p>
    <w:p w14:paraId="13D46ED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 France est ensuite élaborée.</w:t>
      </w:r>
    </w:p>
    <w:p w14:paraId="57AC980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- La manière dont ATD comprend sa propre action est alors suggérée.</w:t>
      </w:r>
    </w:p>
    <w:p w14:paraId="135021C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 certain nombre de sous-titres suffit à révéler la richesse et</w:t>
      </w:r>
    </w:p>
    <w:p w14:paraId="042D7B3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liberté, l’engagement aussi de cet « exercice de réflexion politique » :</w:t>
      </w:r>
    </w:p>
    <w:p w14:paraId="5FDD646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Contrôle de l’espace social ou élargissement de l’univers ? » ; « Le</w:t>
      </w:r>
    </w:p>
    <w:p w14:paraId="4B6147F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droit de parole est aussi le droit de choisir ses mots (p. 123) ; « Le</w:t>
      </w:r>
    </w:p>
    <w:p w14:paraId="6E1391D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savoir, seule garantie de la liberté de pensée » (p. 124) ; « L’homme</w:t>
      </w:r>
    </w:p>
    <w:p w14:paraId="7FCE081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paupérisé comme seul maître » (p. 125) ; « Le renversement des priorités</w:t>
      </w:r>
    </w:p>
    <w:p w14:paraId="1E1A573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» (p. 128) ; « Surveillance ou service de liberté ? » (p. 131) ; « Pour</w:t>
      </w:r>
    </w:p>
    <w:p w14:paraId="7390BD9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être chercheur en Quart Monde il faut descendre l’échelle sociale »</w:t>
      </w:r>
    </w:p>
    <w:p w14:paraId="12C6E15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(p. 133).</w:t>
      </w:r>
    </w:p>
    <w:p w14:paraId="72BF8E2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On le voit, deux manières de comprendre le monde s’affrontent. Il</w:t>
      </w:r>
    </w:p>
    <w:p w14:paraId="39BDA6A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y a là, du point de vue de l’analyse sociale et de la recherche politique,</w:t>
      </w:r>
    </w:p>
    <w:p w14:paraId="3BAEC33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quelque chose qui peut faire figure d’événement dans la pensée</w:t>
      </w:r>
    </w:p>
    <w:p w14:paraId="3A83BC18" w14:textId="2266DA8E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contemporaine.</w:t>
      </w:r>
    </w:p>
    <w:p w14:paraId="5EDB517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6AD3B78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A90D24">
        <w:rPr>
          <w:rFonts w:ascii="AGaramondPro-Bold-SC750" w:hAnsi="AGaramondPro-Bold-SC750" w:cs="AGaramondPro-Bold-SC750"/>
          <w:b/>
          <w:bCs/>
          <w:sz w:val="24"/>
          <w:szCs w:val="24"/>
        </w:rPr>
        <w:t>II</w:t>
      </w:r>
      <w:r w:rsidRPr="00A90D24">
        <w:rPr>
          <w:rFonts w:ascii="AGaramondPro-Bold" w:hAnsi="AGaramondPro-Bold" w:cs="AGaramondPro-Bold"/>
          <w:b/>
          <w:bCs/>
          <w:sz w:val="24"/>
          <w:szCs w:val="24"/>
        </w:rPr>
        <w:t>. — Une réflexion nouvelle</w:t>
      </w:r>
    </w:p>
    <w:p w14:paraId="573411C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Je prends deux points fondamentaux : 1) les éléments mis en oeuvre</w:t>
      </w:r>
    </w:p>
    <w:p w14:paraId="039ADC6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une analyse scientifique qui est observation participante ; 2) la</w:t>
      </w:r>
    </w:p>
    <w:p w14:paraId="67073955" w14:textId="1ED191A2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dynamique du projet de société.</w:t>
      </w:r>
    </w:p>
    <w:p w14:paraId="68CCC54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6498FA5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Regular" w:hAnsi="AGaramondPro-Regular" w:cs="AGaramondPro-Regular"/>
          <w:sz w:val="24"/>
          <w:szCs w:val="24"/>
        </w:rPr>
        <w:t xml:space="preserve">1. </w:t>
      </w: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Les éléments mis en oeuvre</w:t>
      </w:r>
    </w:p>
    <w:p w14:paraId="5BC9AC1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Nous assistons ici au refus d’une double réduction.</w:t>
      </w:r>
    </w:p>
    <w:p w14:paraId="62DC7E5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- Le social ne se réduit pas à l’économique, soit aux mécanismes</w:t>
      </w:r>
    </w:p>
    <w:p w14:paraId="3FE7DD7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économiques soit au formalisme économique. Deux autres dimensions</w:t>
      </w:r>
    </w:p>
    <w:p w14:paraId="3D27325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sont très expressivement reprises par ATD dans la réponse : la famille</w:t>
      </w:r>
    </w:p>
    <w:p w14:paraId="23C2D18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l’État. Pourquoi réduire l’action sociale à l’action socio-économique</w:t>
      </w:r>
    </w:p>
    <w:p w14:paraId="03EC078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? Le domaine familial et l’État n’ont pas nécessairement à être</w:t>
      </w:r>
    </w:p>
    <w:p w14:paraId="10EA5CD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interprétés en fonction de l’analyse économique : leur consistance</w:t>
      </w:r>
    </w:p>
    <w:p w14:paraId="09F8EC9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propre est principe de rationalité spécifique.</w:t>
      </w:r>
    </w:p>
    <w:p w14:paraId="2D9A1F9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- Le social ne se réduit pas au social. Le principe de socialisation ne</w:t>
      </w:r>
    </w:p>
    <w:p w14:paraId="0CBA0A6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se trouve pas uniquement dans la société. Un problème social ne se</w:t>
      </w:r>
    </w:p>
    <w:p w14:paraId="582D7CD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pose et ne se résout jamais uniquement en termes sociaux. La relation</w:t>
      </w:r>
    </w:p>
    <w:p w14:paraId="641A134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sociale renvoie aux termes de la relation ; ainsi qu’au principe valorisant</w:t>
      </w:r>
    </w:p>
    <w:p w14:paraId="57624AD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leur mise en présence. On voit cette perspective dans l’importance</w:t>
      </w:r>
    </w:p>
    <w:p w14:paraId="70DE990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donnée par ATD à la connaissance, à la science, à l’éducation,</w:t>
      </w:r>
    </w:p>
    <w:p w14:paraId="26A0DFA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à la moralité et aux diverses pratiques mises en oeuvre. Dans la</w:t>
      </w:r>
    </w:p>
    <w:p w14:paraId="04B1FD1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conception de l’homme ici impliquée, l’analyse de la société ne comporte</w:t>
      </w:r>
    </w:p>
    <w:p w14:paraId="3B471DE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pas en elle-même et par elle-même les éléments suffisants pour</w:t>
      </w:r>
    </w:p>
    <w:p w14:paraId="3252990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dégager l’ensemble d’une question sociale et à plus forte raison pour</w:t>
      </w:r>
    </w:p>
    <w:p w14:paraId="25C6972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y répondre. Certaines valeurs, comme la connaissance, ne sont pas</w:t>
      </w:r>
    </w:p>
    <w:p w14:paraId="4EA0E68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réduites purement et simplement à des biens culturels et encore</w:t>
      </w:r>
    </w:p>
    <w:p w14:paraId="0DB836C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moins à des biens économiques. La connaissance comme telle, la</w:t>
      </w:r>
    </w:p>
    <w:p w14:paraId="6F19A46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moralité, la dignité de l’homme, etc., valeurs qui ne sont pas d’ordre</w:t>
      </w:r>
    </w:p>
    <w:p w14:paraId="45C46A1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formellement social, sont considérées comme constitutives même du</w:t>
      </w:r>
    </w:p>
    <w:p w14:paraId="1B26E593" w14:textId="12B9DF76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principe de socialisation.</w:t>
      </w:r>
    </w:p>
    <w:p w14:paraId="7FBE661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3E41FD7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4"/>
          <w:szCs w:val="24"/>
        </w:rPr>
      </w:pPr>
      <w:r w:rsidRPr="00A90D24">
        <w:rPr>
          <w:rFonts w:ascii="AGaramondPro-Regular" w:hAnsi="AGaramondPro-Regular" w:cs="AGaramondPro-Regular"/>
          <w:sz w:val="24"/>
          <w:szCs w:val="24"/>
        </w:rPr>
        <w:t xml:space="preserve">2. </w:t>
      </w:r>
      <w:r w:rsidRPr="00A90D24">
        <w:rPr>
          <w:rFonts w:ascii="AGaramondPro-Italic" w:hAnsi="AGaramondPro-Italic" w:cs="AGaramondPro-Italic"/>
          <w:i/>
          <w:iCs/>
          <w:sz w:val="24"/>
          <w:szCs w:val="24"/>
        </w:rPr>
        <w:t>La dynamique du projet de société</w:t>
      </w:r>
    </w:p>
    <w:p w14:paraId="04A66A0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question de la dynamique du projet de société est un point plus</w:t>
      </w:r>
    </w:p>
    <w:p w14:paraId="7F3E11D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important encore. C’est la manière de logique engagée à l’intérieur</w:t>
      </w:r>
    </w:p>
    <w:p w14:paraId="0B3F3EA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du projet étudié, notamment par Alwine de Vos dans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La provocation</w:t>
      </w:r>
    </w:p>
    <w:p w14:paraId="14531C2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sous prolétarienne</w:t>
      </w:r>
      <w:r w:rsidRPr="00A90D24">
        <w:rPr>
          <w:rFonts w:ascii="AGaramondPro-Regular" w:hAnsi="AGaramondPro-Regular" w:cs="AGaramondPro-Regular"/>
          <w:sz w:val="15"/>
          <w:szCs w:val="15"/>
        </w:rPr>
        <w:t>8</w:t>
      </w:r>
      <w:r w:rsidRPr="00A90D24">
        <w:rPr>
          <w:rFonts w:ascii="AGaramondPro-Regular" w:hAnsi="AGaramondPro-Regular" w:cs="AGaramondPro-Regular"/>
          <w:sz w:val="23"/>
          <w:szCs w:val="23"/>
        </w:rPr>
        <w:t>.</w:t>
      </w:r>
    </w:p>
    <w:p w14:paraId="536CDB3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a) Le point de départ n’est pas l’exploité mais celui qui n’a même</w:t>
      </w:r>
    </w:p>
    <w:p w14:paraId="1221AF6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pas de quoi être exploité, c’est-à-dire le pauvre, l’exclu qui est en deçà</w:t>
      </w:r>
    </w:p>
    <w:p w14:paraId="315302F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tout : « Il n’est même pas à même de partager nos conflits. » Ce</w:t>
      </w:r>
    </w:p>
    <w:p w14:paraId="58A6BEC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point est extrêmement fondamental.</w:t>
      </w:r>
    </w:p>
    <w:p w14:paraId="415FB5E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C’est la descente dans la misère avec des gens en deçà de toutes</w:t>
      </w:r>
    </w:p>
    <w:p w14:paraId="0FD3794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ressources au point de vue de l’avoir, du savoir et du pouvoir qui</w:t>
      </w:r>
    </w:p>
    <w:p w14:paraId="3EE152E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manifeste la vérité de l’homme. En cela surtout ils sont nos maîtres</w:t>
      </w:r>
      <w:r w:rsidRPr="00A90D24">
        <w:rPr>
          <w:rFonts w:ascii="AGaramondPro-Regular" w:hAnsi="AGaramondPro-Regular" w:cs="AGaramondPro-Regular"/>
          <w:sz w:val="15"/>
          <w:szCs w:val="15"/>
        </w:rPr>
        <w:t>9</w:t>
      </w:r>
      <w:r w:rsidRPr="00A90D24">
        <w:rPr>
          <w:rFonts w:ascii="AGaramondPro-Regular" w:hAnsi="AGaramondPro-Regular" w:cs="AGaramondPro-Regular"/>
          <w:sz w:val="23"/>
          <w:szCs w:val="23"/>
        </w:rPr>
        <w:t>.</w:t>
      </w:r>
    </w:p>
    <w:p w14:paraId="6535DF7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Quand on dit « maître », il est possible de comprendre plusieurs</w:t>
      </w:r>
    </w:p>
    <w:p w14:paraId="5ECA2AD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choses. La réflexion peut s’appuyer sur la dialectique « maître-esclave »</w:t>
      </w:r>
    </w:p>
    <w:p w14:paraId="0CD9B7A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qu’elle lie au travail. Mais cette dialectique est ici refusée parce qu’il</w:t>
      </w:r>
    </w:p>
    <w:p w14:paraId="17670A5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s’agit précisément de ceux qui sont exclus de cette lutte puisque l’on</w:t>
      </w:r>
    </w:p>
    <w:p w14:paraId="670547F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ne peut pas s’en servir pour le travail. Les pauvres sont nos maîtres</w:t>
      </w:r>
    </w:p>
    <w:p w14:paraId="50A6685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au sens où nous pouvons en devenir les disciples : on n’est pas aliéné</w:t>
      </w:r>
    </w:p>
    <w:p w14:paraId="1AFE498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 écoutant quelqu’un, on n’est pas son esclave parce qu’il nous</w:t>
      </w:r>
    </w:p>
    <w:p w14:paraId="2858353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apprend quelque chose ; ces pauvres sont nos frères. Ce peuple sans</w:t>
      </w:r>
    </w:p>
    <w:p w14:paraId="5AFE18A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nom, sans parole, sans force, manifeste en cela même la vérité de</w:t>
      </w:r>
    </w:p>
    <w:p w14:paraId="6105B0A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l’homme. L’homme n’est ni son langage, ni sa force, ni son travail, ni</w:t>
      </w:r>
    </w:p>
    <w:p w14:paraId="3257415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sa capacité de socialisation, il est tout cela et davantage. C’est en celui</w:t>
      </w:r>
    </w:p>
    <w:p w14:paraId="5872DA2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qui en est privé qu’est manifeste, non pas notre fausse valeur qui lui</w:t>
      </w:r>
    </w:p>
    <w:p w14:paraId="49272C4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accorde commisération, mais la vérité de ce que nous sommes. Ce</w:t>
      </w:r>
    </w:p>
    <w:p w14:paraId="7EDAAF8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n’est par conséquent pas dans un rapport de force mais à partir de la</w:t>
      </w:r>
    </w:p>
    <w:p w14:paraId="268BD08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faiblesse où nous l’avons mis que la solution doit se chercher, car ce</w:t>
      </w:r>
    </w:p>
    <w:p w14:paraId="5CCC0E8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sont des exclus et les exclus sont les faibles.</w:t>
      </w:r>
    </w:p>
    <w:p w14:paraId="1B564D6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b) Alwine de Vos parle par deux fois de la lutte des classes</w:t>
      </w:r>
      <w:r w:rsidRPr="00A90D24">
        <w:rPr>
          <w:rFonts w:ascii="AGaramondPro-Regular" w:hAnsi="AGaramondPro-Regular" w:cs="AGaramondPro-Regular"/>
          <w:sz w:val="15"/>
          <w:szCs w:val="15"/>
        </w:rPr>
        <w:t>10</w:t>
      </w:r>
      <w:r w:rsidRPr="00A90D24">
        <w:rPr>
          <w:rFonts w:ascii="AGaramondPro-Regular" w:hAnsi="AGaramondPro-Regular" w:cs="AGaramondPro-Regular"/>
          <w:sz w:val="23"/>
          <w:szCs w:val="23"/>
        </w:rPr>
        <w:t>. Il ne</w:t>
      </w:r>
    </w:p>
    <w:p w14:paraId="58E5162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s’agit pas de nier les luttes de classes, mais de regarder et de servir</w:t>
      </w:r>
    </w:p>
    <w:p w14:paraId="678FC1E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ceux qui en sont rejetés, parce que la lutte de classes signifie un rapport</w:t>
      </w:r>
    </w:p>
    <w:p w14:paraId="110F0F7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forces et il s’agit ici des faibles. Certes, les luttes de classes se</w:t>
      </w:r>
    </w:p>
    <w:p w14:paraId="09D2145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déchaînent toujours d’une manière ou d’une autre, mais l’écoute</w:t>
      </w:r>
    </w:p>
    <w:p w14:paraId="5B621C1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compréhensive de ces hommes, qui par leur dépouillement même</w:t>
      </w:r>
    </w:p>
    <w:p w14:paraId="5DDCDF8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manifestent au plus nu et au plus vif ce qu’est l’homme, se situe en</w:t>
      </w:r>
    </w:p>
    <w:p w14:paraId="7D77D57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deçà et plus profondément que tout rapport de force de quelque</w:t>
      </w:r>
    </w:p>
    <w:p w14:paraId="79463D5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ordre que ce soit.</w:t>
      </w:r>
    </w:p>
    <w:p w14:paraId="16ACAC3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Dans ces rapports de forces (qui jouent dans l’ordre économique</w:t>
      </w:r>
    </w:p>
    <w:p w14:paraId="7956AF6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comme dans l’ordre du savoir et du pouvoir), ces hommes exclus ne</w:t>
      </w:r>
    </w:p>
    <w:p w14:paraId="0D953B2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désirent pas entrer, parce qu’ils en ont toujours été meurtris. La violence</w:t>
      </w:r>
    </w:p>
    <w:p w14:paraId="310AE42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est pour eux toujours meurtrière. N’est-ce pas là la vérité de</w:t>
      </w:r>
    </w:p>
    <w:p w14:paraId="09E0046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l’homme ? Non qu’il faille faire abstraction de la violence ou des luttes</w:t>
      </w:r>
    </w:p>
    <w:p w14:paraId="7216123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classes, comme si elles n’existaient pas, mais il s’agit de percevoir</w:t>
      </w:r>
    </w:p>
    <w:p w14:paraId="53C60BF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précisément en quoi la violence ne peut qu’ajouter à la violence alors</w:t>
      </w:r>
    </w:p>
    <w:p w14:paraId="6FC6EFB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qu’il s’agit ici de faiblesse, sans force pour faire violence. Justement la</w:t>
      </w:r>
    </w:p>
    <w:p w14:paraId="3DE6C3D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loi du plus fort qui régit les sociétés pour un avoir plus, un savoir plus,</w:t>
      </w:r>
    </w:p>
    <w:p w14:paraId="58F3642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 pouvoir plus, suscite à tous les niveaux un phénomène d’exclusion ;</w:t>
      </w:r>
    </w:p>
    <w:p w14:paraId="78E136D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c’est là où le phénomène d’exclusion est aussi brutal et radical</w:t>
      </w:r>
    </w:p>
    <w:p w14:paraId="7301562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qu’on le voit. Sinon il y aurait toujours des échelles de compensation</w:t>
      </w:r>
    </w:p>
    <w:p w14:paraId="1554039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différentes. Or cette loi du plus fort défigure l’humanité de l’homme.</w:t>
      </w:r>
    </w:p>
    <w:p w14:paraId="531AB2D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 n’est pas en se basant sur cette loi du plus fort, quitte à renverser</w:t>
      </w:r>
    </w:p>
    <w:p w14:paraId="424AB22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les termes du rapport de force, que l’on peut effectivement espérer.</w:t>
      </w:r>
    </w:p>
    <w:p w14:paraId="46A22F4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Dès lors que faire ? Il s’agit de ne pas passer de l’adage « chacun</w:t>
      </w:r>
    </w:p>
    <w:p w14:paraId="56FD9DB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selon son travail » (puisque cet homme ne travaille pas) à « chacun</w:t>
      </w:r>
    </w:p>
    <w:p w14:paraId="5A97B81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selon ses besoins » mais de mettre ensemble : à « chacun selon son</w:t>
      </w:r>
    </w:p>
    <w:p w14:paraId="097F137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mérite » et à « chacun selon sa faiblesse ». C’est une dynamique d’un</w:t>
      </w:r>
    </w:p>
    <w:p w14:paraId="6B19A6E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tout autre ordre. Il faut respecter à la fois la faiblesse et les mérites, la</w:t>
      </w:r>
    </w:p>
    <w:p w14:paraId="52249F0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faiblesse qui a besoin d’être aidée pour qu’il y ait chances égales, et</w:t>
      </w:r>
    </w:p>
    <w:p w14:paraId="61F5582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les mérites pour qu’effectivement le travail soit comme il doit l’être</w:t>
      </w:r>
    </w:p>
    <w:p w14:paraId="1C43F27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entre hommes, reconnu et respecté.</w:t>
      </w:r>
    </w:p>
    <w:p w14:paraId="75B9835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c) Il ne s’agit donc pas d’entrer dans le cercle de la violence qui n’est</w:t>
      </w:r>
    </w:p>
    <w:p w14:paraId="68F07EB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qu’un processus d’autodestruction ; la loi du progrès ne va donc pas</w:t>
      </w:r>
    </w:p>
    <w:p w14:paraId="6D3A11B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apparaître dans le rapport négatif qui est la violence, mais dans un</w:t>
      </w:r>
    </w:p>
    <w:p w14:paraId="67C66E2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rapport qui, dans les luttes de classes comme en n’importe quelle</w:t>
      </w:r>
    </w:p>
    <w:p w14:paraId="427C8B8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lutte, est toujours réconciliation.</w:t>
      </w:r>
    </w:p>
    <w:p w14:paraId="3F01D78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Alwine de Vos a une formule très forte : « l’inclusion » face à l’exclusion.</w:t>
      </w:r>
    </w:p>
    <w:p w14:paraId="44B6C1F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style « rhétorique » qu’elle emploie, sa manière de parler, sont</w:t>
      </w:r>
    </w:p>
    <w:p w14:paraId="323D069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révélateurs dans son livre comme dans la réponse de la revue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Igloos </w:t>
      </w:r>
      <w:r w:rsidRPr="00A90D24">
        <w:rPr>
          <w:rFonts w:ascii="AGaramondPro-Regular" w:hAnsi="AGaramondPro-Regular" w:cs="AGaramondPro-Regular"/>
          <w:sz w:val="23"/>
          <w:szCs w:val="23"/>
        </w:rPr>
        <w:t>84</w:t>
      </w:r>
    </w:p>
    <w:p w14:paraId="6A32961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au texte des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Temps Modernes</w:t>
      </w:r>
      <w:r w:rsidRPr="00A90D24">
        <w:rPr>
          <w:rFonts w:ascii="AGaramondPro-Regular" w:hAnsi="AGaramondPro-Regular" w:cs="AGaramondPro-Regular"/>
          <w:sz w:val="23"/>
          <w:szCs w:val="23"/>
        </w:rPr>
        <w:t xml:space="preserve">. Déjà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Igloos </w:t>
      </w:r>
      <w:r w:rsidRPr="00A90D24">
        <w:rPr>
          <w:rFonts w:ascii="AGaramondPro-Regular" w:hAnsi="AGaramondPro-Regular" w:cs="AGaramondPro-Regular"/>
          <w:sz w:val="23"/>
          <w:szCs w:val="23"/>
        </w:rPr>
        <w:t>57-58 (1970) sur « le développement</w:t>
      </w:r>
    </w:p>
    <w:p w14:paraId="31B5A66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communautaire » montrait qu’il fallait toujours convaincre</w:t>
      </w:r>
    </w:p>
    <w:p w14:paraId="20BDD5C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persuader. En effet, la vérité est hospitalière, réconciliatrice. Elle</w:t>
      </w:r>
    </w:p>
    <w:p w14:paraId="2DBDE4C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n’est pas la vérité contre... Cela suppose la reconnaissance des conflits</w:t>
      </w:r>
    </w:p>
    <w:p w14:paraId="68FF028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l’injustice, mais encore la réalité du langage qui les éclaire parce</w:t>
      </w:r>
    </w:p>
    <w:p w14:paraId="1A10090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que la vérité a elle-même sa force. C’est d’ailleurs une force qui est</w:t>
      </w:r>
    </w:p>
    <w:p w14:paraId="7435FB5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celle de la « compréhension » aux sens intelligent et miséricordieux du</w:t>
      </w:r>
    </w:p>
    <w:p w14:paraId="55F76D1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terme. C’est la force d’une vérité dont l’utopie n’est pas la négation</w:t>
      </w:r>
    </w:p>
    <w:p w14:paraId="10206E8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la violence par la violence ; la violence qui prétend réduire la violence</w:t>
      </w:r>
    </w:p>
    <w:p w14:paraId="473C4DB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ne peut que se projeter dans un mythe intemporel ou bien dans</w:t>
      </w:r>
    </w:p>
    <w:p w14:paraId="6F7D385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retour perpétuel du même ; en fait, cette manière de violence finit</w:t>
      </w:r>
    </w:p>
    <w:p w14:paraId="31E6846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 estomper la nécessité des hommes à vivre jour après jour et à</w:t>
      </w:r>
    </w:p>
    <w:p w14:paraId="7371F20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reprendre sans fin la suite de leurs errements. Ce point me paraît</w:t>
      </w:r>
    </w:p>
    <w:p w14:paraId="755EE07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caractéristique. La reprise sera perpétuelle de ce qui a été toujours et</w:t>
      </w:r>
    </w:p>
    <w:p w14:paraId="53D7159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qui sera encore à nouveau défait car la figure de l’histoire est celle de</w:t>
      </w:r>
    </w:p>
    <w:p w14:paraId="7D65322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patience et de l’espérance.</w:t>
      </w:r>
    </w:p>
    <w:p w14:paraId="2E40ECC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d) À partir du point de départ de la faiblesse des exclus se déploie,</w:t>
      </w:r>
    </w:p>
    <w:p w14:paraId="0A3CC74D" w14:textId="4DE8B694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nous paraît-il, une logique théorique de surabondance. La magnifi</w:t>
      </w:r>
    </w:p>
    <w:p w14:paraId="58B693F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cence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11 </w:t>
      </w:r>
      <w:r w:rsidRPr="00A90D24">
        <w:rPr>
          <w:rFonts w:ascii="AGaramondPro-Regular" w:hAnsi="AGaramondPro-Regular" w:cs="AGaramondPro-Regular"/>
          <w:sz w:val="23"/>
          <w:szCs w:val="23"/>
        </w:rPr>
        <w:t>s’origine en cette vie avec le pauvre qui n’est rien de tout ce</w:t>
      </w:r>
    </w:p>
    <w:p w14:paraId="6F58218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que nous sommes et de tout ce que nous voulons avoir, savoir et</w:t>
      </w:r>
    </w:p>
    <w:p w14:paraId="230B495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pouvoir. En ces hommes se trouve, en douloureuse surabondance, la</w:t>
      </w:r>
    </w:p>
    <w:p w14:paraId="0308FD2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vérité de ce que nous sommes, de ce qu’est la société. Certes, nous ne</w:t>
      </w:r>
    </w:p>
    <w:p w14:paraId="0AE4684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vivons pas cela ; même, nous faisons le contraire et nous voulons tout</w:t>
      </w:r>
    </w:p>
    <w:p w14:paraId="778164F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contraire ; et c’est notre faute si nous défigurons cette humanité nue</w:t>
      </w:r>
    </w:p>
    <w:p w14:paraId="3A0ACA7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par le même fait nous défigurons nous-mêmes. Mais l’éprouvante</w:t>
      </w:r>
    </w:p>
    <w:p w14:paraId="4B05D5B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surabondance de vérité attestée négativement dans ces exclus suscite</w:t>
      </w:r>
    </w:p>
    <w:p w14:paraId="39E517A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foi dans la parole, dans la communication de la parole. La parole</w:t>
      </w:r>
    </w:p>
    <w:p w14:paraId="24C8A49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s’étend partout pour apprendre à faire connaissance, à mettre en communication</w:t>
      </w:r>
    </w:p>
    <w:p w14:paraId="405F805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les êtres, pour qu’il y ait des amis, des alliés. Cette perspective</w:t>
      </w:r>
    </w:p>
    <w:p w14:paraId="2ACC302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n’a donc à réduire personne à la situation d’ennemi objectif</w:t>
      </w:r>
    </w:p>
    <w:p w14:paraId="765FFCC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classe… Toujours il y a des amis et des alliés à gagner. Cela ne</w:t>
      </w:r>
    </w:p>
    <w:p w14:paraId="5B70D8A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signifie pas que ces amis, ces alliés ne soient pas, dans une analyse</w:t>
      </w:r>
    </w:p>
    <w:p w14:paraId="133526D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marxiste, susceptibles d’être repérés comme objectivement ennemis</w:t>
      </w:r>
    </w:p>
    <w:p w14:paraId="7920A0B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classe…, mais, qu’ils soient ou non ainsi classifiés, ces hommes</w:t>
      </w:r>
    </w:p>
    <w:p w14:paraId="73C32BD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demeurent, dans ce regard plus profond, des amis, c’est-à-dire des</w:t>
      </w:r>
    </w:p>
    <w:p w14:paraId="217554A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hommes à qui effectivement on peut parler.</w:t>
      </w:r>
    </w:p>
    <w:p w14:paraId="2D3CA4F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Du point de vue de la philosophie de la société, il est éclairant que</w:t>
      </w:r>
    </w:p>
    <w:p w14:paraId="0A926B7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connaissance, que la parole soit reconnue au niveau social comme</w:t>
      </w:r>
    </w:p>
    <w:p w14:paraId="2E31306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médiation et communication, et non seulement comme moyen terme</w:t>
      </w:r>
    </w:p>
    <w:p w14:paraId="301AFBD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critique... On peut parler à Pompidou, on peut parler à Edmond</w:t>
      </w:r>
    </w:p>
    <w:p w14:paraId="163D57A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Maire, à Lenoir</w:t>
      </w:r>
      <w:r w:rsidRPr="00A90D24">
        <w:rPr>
          <w:rFonts w:ascii="AGaramondPro-Regular" w:hAnsi="AGaramondPro-Regular" w:cs="AGaramondPro-Regular"/>
          <w:sz w:val="15"/>
          <w:szCs w:val="15"/>
        </w:rPr>
        <w:t>12</w:t>
      </w:r>
      <w:r w:rsidRPr="00A90D24">
        <w:rPr>
          <w:rFonts w:ascii="AGaramondPro-Regular" w:hAnsi="AGaramondPro-Regular" w:cs="AGaramondPro-Regular"/>
          <w:sz w:val="23"/>
          <w:szCs w:val="23"/>
        </w:rPr>
        <w:t xml:space="preserve">, avec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Les Temps Modernes</w:t>
      </w:r>
      <w:r w:rsidRPr="00A90D24">
        <w:rPr>
          <w:rFonts w:ascii="AGaramondPro-Regular" w:hAnsi="AGaramondPro-Regular" w:cs="AGaramondPro-Regular"/>
          <w:sz w:val="23"/>
          <w:szCs w:val="23"/>
        </w:rPr>
        <w:t>, à l’O.N.U., on peut</w:t>
      </w:r>
    </w:p>
    <w:p w14:paraId="4A59747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parler n’importe où… Parler, c’est toujours faire confiance à la vérité.</w:t>
      </w:r>
    </w:p>
    <w:p w14:paraId="64D6EE2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 n’est pas croire sans plus à la bonne volonté des hommes, mais</w:t>
      </w:r>
    </w:p>
    <w:p w14:paraId="247B029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croire que la vérité est meilleure et plus forte que la mauvaise volonté</w:t>
      </w:r>
    </w:p>
    <w:p w14:paraId="1E2046E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 hommes.</w:t>
      </w:r>
    </w:p>
    <w:p w14:paraId="500C58B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C’est dans cette logique que je vois s’inscrire l’ensemble de ce projet</w:t>
      </w:r>
    </w:p>
    <w:p w14:paraId="04B5415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 même temps généreux dans ce qu’il croit et humble dans ce</w:t>
      </w:r>
    </w:p>
    <w:p w14:paraId="3898C26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qu’il respecte. Il prend effectivement la mesure de ce que l’homme a</w:t>
      </w:r>
    </w:p>
    <w:p w14:paraId="5765F54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fait et assume critiquement la fraternité qui pèse et continue à peser.</w:t>
      </w:r>
    </w:p>
    <w:p w14:paraId="7D7F902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Cette fraternité, il faut la renouveler, non la formaliser par aucune loi</w:t>
      </w:r>
    </w:p>
    <w:p w14:paraId="21CA804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ni par aucune action.</w:t>
      </w:r>
    </w:p>
    <w:p w14:paraId="70A75E7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Je ne connais guère d’analyse ou de réflexion sur la société qui</w:t>
      </w:r>
    </w:p>
    <w:p w14:paraId="5FE0943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puisse effectivement tenir à la fois tous ces éléments et montrer comment</w:t>
      </w:r>
    </w:p>
    <w:p w14:paraId="45A2BB7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les inscrire dans un projet d’action. Cela me paraît stupéfiant.</w:t>
      </w:r>
    </w:p>
    <w:p w14:paraId="0EFE10D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marxisme (c’est évidemment une de ses fascinations) dit une chose</w:t>
      </w:r>
    </w:p>
    <w:p w14:paraId="43D87DF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montre à la fois comment le faire ; il faut bien reconnaître qu’en</w:t>
      </w:r>
    </w:p>
    <w:p w14:paraId="63663F1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général il n’y a guère aujourd’hui de pensée où l’on dit tout ensemble</w:t>
      </w:r>
    </w:p>
    <w:p w14:paraId="648FD3B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théorie : « Voilà ce qu’est l’homme, la société humaine » et la pratique</w:t>
      </w:r>
    </w:p>
    <w:p w14:paraId="7CBAC6D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: « Voilà comment effectivement édifier celle-ci ». Édifier un</w:t>
      </w:r>
    </w:p>
    <w:p w14:paraId="246ADD0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projet de société » à même la rencontre et l’observation participante</w:t>
      </w:r>
    </w:p>
    <w:p w14:paraId="32AE34E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l’espérance et de l’exclusion des pauvres est trop rare pour ne pas</w:t>
      </w:r>
    </w:p>
    <w:p w14:paraId="60314AB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être salué. De plus, la densité, la profondeur et en même temps la</w:t>
      </w:r>
    </w:p>
    <w:p w14:paraId="5E0BB6B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rigueur dans la pensée, même si elle n’est pas formalisée, constituent</w:t>
      </w:r>
    </w:p>
    <w:p w14:paraId="026DE78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peut-être, dans le domaine social et de la réflexion politique en Occident,</w:t>
      </w:r>
    </w:p>
    <w:p w14:paraId="4D57AD0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 événement.</w:t>
      </w:r>
    </w:p>
    <w:p w14:paraId="379521D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Du point de vue de l’analyse sociale comme de l’anthropologie</w:t>
      </w:r>
    </w:p>
    <w:p w14:paraId="6F3EEB3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philosophique, cette pensée est neuve. Où en trouver l’équivalent</w:t>
      </w:r>
    </w:p>
    <w:p w14:paraId="5BD3C30D" w14:textId="48464DE8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jusqu’à présent ?</w:t>
      </w:r>
    </w:p>
    <w:p w14:paraId="4C27A894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65EEAA9A" w14:textId="287B13CD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A90D24">
        <w:rPr>
          <w:rFonts w:ascii="AGaramondPro-Regular" w:hAnsi="AGaramondPro-Regular" w:cs="AGaramondPro-Regular"/>
        </w:rPr>
        <w:t>Albert Chapelle s.j. (†)</w:t>
      </w:r>
    </w:p>
    <w:p w14:paraId="14B377BE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1013D0D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Bold" w:hAnsi="AGaramondPro-Bold" w:cs="AGaramondPro-Bold"/>
          <w:b/>
          <w:bCs/>
          <w:sz w:val="20"/>
          <w:szCs w:val="20"/>
        </w:rPr>
        <w:t>Résumé</w:t>
      </w:r>
      <w:r w:rsidRPr="00A90D24">
        <w:rPr>
          <w:rFonts w:ascii="AGaramondPro-Regular" w:hAnsi="AGaramondPro-Regular" w:cs="AGaramondPro-Regular"/>
          <w:sz w:val="20"/>
          <w:szCs w:val="20"/>
        </w:rPr>
        <w:t xml:space="preserve">. </w:t>
      </w:r>
      <w:r w:rsidRPr="00A90D24">
        <w:rPr>
          <w:rFonts w:ascii="AGaramondPro-Bold" w:hAnsi="AGaramondPro-Bold" w:cs="AGaramondPro-Bold"/>
          <w:b/>
          <w:bCs/>
          <w:sz w:val="20"/>
          <w:szCs w:val="20"/>
        </w:rPr>
        <w:t xml:space="preserve">— </w:t>
      </w:r>
      <w:r w:rsidRPr="00A90D24">
        <w:rPr>
          <w:rFonts w:ascii="AGaramondPro-Regular" w:hAnsi="AGaramondPro-Regular" w:cs="AGaramondPro-Regular"/>
          <w:sz w:val="20"/>
          <w:szCs w:val="20"/>
        </w:rPr>
        <w:t>Ce texte se penche sur le projet de société porté par le Mouvement</w:t>
      </w:r>
    </w:p>
    <w:p w14:paraId="633F2AA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ATD Quart Monde en 1975, en réponse à l’analyse marxiste qu’en avait fait la</w:t>
      </w:r>
    </w:p>
    <w:p w14:paraId="0954607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 xml:space="preserve">revue </w:t>
      </w:r>
      <w:r w:rsidRPr="00A90D24">
        <w:rPr>
          <w:rFonts w:ascii="AGaramondPro-Italic" w:hAnsi="AGaramondPro-Italic" w:cs="AGaramondPro-Italic"/>
          <w:i/>
          <w:iCs/>
          <w:sz w:val="20"/>
          <w:szCs w:val="20"/>
        </w:rPr>
        <w:t>Les Temps Modernes</w:t>
      </w:r>
      <w:r w:rsidRPr="00A90D24">
        <w:rPr>
          <w:rFonts w:ascii="AGaramondPro-Regular" w:hAnsi="AGaramondPro-Regular" w:cs="AGaramondPro-Regular"/>
          <w:sz w:val="20"/>
          <w:szCs w:val="20"/>
        </w:rPr>
        <w:t>. Est en jeu la socialisation, qui trouve son principe en</w:t>
      </w:r>
    </w:p>
    <w:p w14:paraId="0505DBF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dehors d’elle-même, car elle suppose non la lutte mais la rencontre.</w:t>
      </w:r>
    </w:p>
    <w:p w14:paraId="5BEA2DB8" w14:textId="09F549C6" w:rsidR="009C1219" w:rsidRDefault="009C1219"/>
    <w:p w14:paraId="2110D2B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1. ATD : « Aide à Toute Détresse », devenu ensuite « Agir Tous pour la Dignité »</w:t>
      </w:r>
    </w:p>
    <w:p w14:paraId="1D71363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(toutes les notes et les sous-titres sont de la rédaction).</w:t>
      </w:r>
    </w:p>
    <w:p w14:paraId="1B398D2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2. L’enseignement du père Joseph fut publié dans la revue du mouvement ATD</w:t>
      </w:r>
    </w:p>
    <w:p w14:paraId="09E8313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Igloos </w:t>
      </w:r>
      <w:r w:rsidRPr="00A90D24">
        <w:rPr>
          <w:rFonts w:ascii="AGaramondPro-Regular" w:hAnsi="AGaramondPro-Regular" w:cs="AGaramondPro-Regular"/>
          <w:sz w:val="19"/>
          <w:szCs w:val="19"/>
        </w:rPr>
        <w:t>87-88 (hiver 1975) sous le titre « ATD Science et Service, une approche évangélique</w:t>
      </w:r>
    </w:p>
    <w:p w14:paraId="2BB3BE2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au service des hommes » et, sous une forme abrégée, dans la revue belge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Vie</w:t>
      </w:r>
    </w:p>
    <w:p w14:paraId="2991BA9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consacrée </w:t>
      </w:r>
      <w:r w:rsidRPr="00A90D24">
        <w:rPr>
          <w:rFonts w:ascii="AGaramondPro-Regular" w:hAnsi="AGaramondPro-Regular" w:cs="AGaramondPro-Regular"/>
          <w:sz w:val="19"/>
          <w:szCs w:val="19"/>
        </w:rPr>
        <w:t xml:space="preserve">: « Présence évangélique dans le Quart Monde »,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VC </w:t>
      </w:r>
      <w:r w:rsidRPr="00A90D24">
        <w:rPr>
          <w:rFonts w:ascii="AGaramondPro-Regular" w:hAnsi="AGaramondPro-Regular" w:cs="AGaramondPro-Regular"/>
          <w:sz w:val="19"/>
          <w:szCs w:val="19"/>
        </w:rPr>
        <w:t>48 (1976), p. 80-93.</w:t>
      </w:r>
    </w:p>
    <w:p w14:paraId="56B06BC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3. C. Liscia et F. Orlic, « Les Cités de transit : un grand renfermement »,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Les</w:t>
      </w:r>
    </w:p>
    <w:p w14:paraId="4923963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Temps Modernes </w:t>
      </w:r>
      <w:r w:rsidRPr="00A90D24">
        <w:rPr>
          <w:rFonts w:ascii="AGaramondPro-Regular" w:hAnsi="AGaramondPro-Regular" w:cs="AGaramondPro-Regular"/>
          <w:sz w:val="19"/>
          <w:szCs w:val="19"/>
        </w:rPr>
        <w:t xml:space="preserve">(1974), p. 586-613. Cet article est entièrement repris dans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Igloos</w:t>
      </w:r>
    </w:p>
    <w:p w14:paraId="7546D5E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84 (1974), p. 53-95.</w:t>
      </w:r>
    </w:p>
    <w:p w14:paraId="39881C6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4. Volontaire permanent du Mouvement ATD Quart Monde depuis 1977, Jean</w:t>
      </w:r>
    </w:p>
    <w:p w14:paraId="35B5E15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Tonglet a été le premier directeur du Centre Joseph Wresinski, de 2003 à 2011,</w:t>
      </w:r>
    </w:p>
    <w:p w14:paraId="6ECD26A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centre où sont conservées et mises en valeur l’ensemble des archives du Mouvement,</w:t>
      </w:r>
    </w:p>
    <w:p w14:paraId="4F5202E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dont celles de son fondateur.</w:t>
      </w:r>
    </w:p>
    <w:p w14:paraId="1846578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5. Sous le nom de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cités de transit </w:t>
      </w:r>
      <w:r w:rsidRPr="00A90D24">
        <w:rPr>
          <w:rFonts w:ascii="AGaramondPro-Regular" w:hAnsi="AGaramondPro-Regular" w:cs="AGaramondPro-Regular"/>
          <w:sz w:val="19"/>
          <w:szCs w:val="19"/>
        </w:rPr>
        <w:t>on désignait dans les années 1970 les ensembles</w:t>
      </w:r>
    </w:p>
    <w:p w14:paraId="5D986FF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édifiés pour abriter provisoirement les habitants des bidonvilles alors que le programme</w:t>
      </w:r>
    </w:p>
    <w:p w14:paraId="3C0C511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de construction des HLM, à la suite de la loi Vivien (1970) destiné à</w:t>
      </w:r>
    </w:p>
    <w:p w14:paraId="3F8FAA9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éradiquer les logements insalubres et précaires, peinait à lutter contre la crise de</w:t>
      </w:r>
    </w:p>
    <w:p w14:paraId="058FFE0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logement des populations pauvres, souvent immigrées, portugaises puis maghrébines.</w:t>
      </w:r>
    </w:p>
    <w:p w14:paraId="0012367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Ce programme avait une visée socio-éducative.</w:t>
      </w:r>
    </w:p>
    <w:p w14:paraId="55BFD20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6. « Les recherches de Claude Liscia et Françoise Orlic se sont surtout attachées à</w:t>
      </w:r>
    </w:p>
    <w:p w14:paraId="3AE9919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dénoncer les modalités d’administration et de gestion de ces cités de transit et, en</w:t>
      </w:r>
    </w:p>
    <w:p w14:paraId="2D82372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particulier, les dispositifs de surveillance et de coercition qui enserrent leur population.</w:t>
      </w:r>
    </w:p>
    <w:p w14:paraId="778B887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En d’autres termes et au risque de schématiser, (…) (elles) affirment la prégnance</w:t>
      </w:r>
    </w:p>
    <w:p w14:paraId="3EFF5C9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d’un dispositif de normalisation ; l’exclusion fait place au “grand renfermement”</w:t>
      </w:r>
    </w:p>
    <w:p w14:paraId="65906745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et à “l’emprisonnement à domicile” dans un espace de discipline »</w:t>
      </w:r>
    </w:p>
    <w:p w14:paraId="6FD6AE6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(J.-P. Tricart, « Genèse d’un dispositif d’assistance : les “cités de transit” »,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Revue</w:t>
      </w:r>
    </w:p>
    <w:p w14:paraId="19EDE503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française de sociologie</w:t>
      </w:r>
      <w:r w:rsidRPr="00A90D24">
        <w:rPr>
          <w:rFonts w:ascii="AGaramondPro-Regular" w:hAnsi="AGaramondPro-Regular" w:cs="AGaramondPro-Regular"/>
          <w:sz w:val="19"/>
          <w:szCs w:val="19"/>
        </w:rPr>
        <w:t>, 1977, p. 602).</w:t>
      </w:r>
    </w:p>
    <w:p w14:paraId="112DAA5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7. La revue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Temps Modernes </w:t>
      </w:r>
      <w:r w:rsidRPr="00A90D24">
        <w:rPr>
          <w:rFonts w:ascii="AGaramondPro-Regular" w:hAnsi="AGaramondPro-Regular" w:cs="AGaramondPro-Regular"/>
          <w:sz w:val="19"/>
          <w:szCs w:val="19"/>
        </w:rPr>
        <w:t>fut fondée en octobre 1945 par Jean-Paul Sartre</w:t>
      </w:r>
    </w:p>
    <w:p w14:paraId="1FED098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et Simone de Beauvoir qui la dirigèrent jusque dans les années 1980. Sartre prôna</w:t>
      </w:r>
    </w:p>
    <w:p w14:paraId="63942B4E" w14:textId="24EB22E4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à partir de 1952 un « compagnonnage critique » avec le marxisme.</w:t>
      </w:r>
    </w:p>
    <w:p w14:paraId="66B32D0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8. A. de Vos van Steenwijk,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La provocation sous-prolétarienne. Pour une société</w:t>
      </w:r>
    </w:p>
    <w:p w14:paraId="02D24A3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sélective</w:t>
      </w:r>
      <w:r w:rsidRPr="00A90D24">
        <w:rPr>
          <w:rFonts w:ascii="AGaramondPro-Regular" w:hAnsi="AGaramondPro-Regular" w:cs="AGaramondPro-Regular"/>
          <w:sz w:val="19"/>
          <w:szCs w:val="19"/>
        </w:rPr>
        <w:t>, Pierrelaye, éd. Science et Service, 1972. Alwine de Vos van Steenwijk</w:t>
      </w:r>
    </w:p>
    <w:p w14:paraId="58760B6D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(1921-2012), diplomate hollandaise, découvrit ATD Quart Monde au camp de</w:t>
      </w:r>
    </w:p>
    <w:p w14:paraId="43A1409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Noisy-le-Grand en 1960 et fut la présidente du mouvement de 1974 à 2002.</w:t>
      </w:r>
    </w:p>
    <w:p w14:paraId="48BB72E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9. Expression de St Vincent de Paul souvent employée par le p. Joseph Wresinski.</w:t>
      </w:r>
    </w:p>
    <w:p w14:paraId="5A34534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10. A. de Vos van Steenwijk,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La provocation sous-prolétarienne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8),</w:t>
      </w:r>
    </w:p>
    <w:p w14:paraId="246B7D39" w14:textId="318C0D26" w:rsidR="00107CD8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p. 275 ; 285.</w:t>
      </w:r>
    </w:p>
    <w:p w14:paraId="2E9ADC11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11. Dans la même conférence à l’I.É.T. de 1975, le père Joseph s’interroge ainsi :</w:t>
      </w:r>
    </w:p>
    <w:p w14:paraId="05F9437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« Y a-t-il un rapport entre le silence sur Dieu et l’oubli du Quart Monde ? Et peuton</w:t>
      </w:r>
    </w:p>
    <w:p w14:paraId="469E8E37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dire que notre “athéisme culturel” est l’indice de la même myopie, du même</w:t>
      </w:r>
    </w:p>
    <w:p w14:paraId="4BC2A73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manque d’attention, qui nous fait passer sans la voir à côté de la misère des exclus ?</w:t>
      </w:r>
    </w:p>
    <w:p w14:paraId="05962E5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Il nous faudrait comprendre les Béatitudes : ce sont les Pauvres qui “voient Dieu”</w:t>
      </w:r>
    </w:p>
    <w:p w14:paraId="6D7CAA6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(...) Jésus n’a pas dit autre chose : “À ceux qui croient en son nom, il a donné le</w:t>
      </w:r>
    </w:p>
    <w:p w14:paraId="62A11EDB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pouvoir de devenir enfants de Dieu ; ceux-là ne sont pas nés du sang ni d’un vouloir</w:t>
      </w:r>
    </w:p>
    <w:p w14:paraId="5A29ACA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de chair ni d’un vouloir d’homme, mais de Dieu” (Jn 1,12-13). Ainsi, dans le regard</w:t>
      </w:r>
    </w:p>
    <w:p w14:paraId="0BD218A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porté sur la condition des sous-prolétaires, le chrétien voit la création comme une</w:t>
      </w:r>
    </w:p>
    <w:p w14:paraId="1608942A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bonté radicale, une oeuvre de “magnificence” » (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Igloos </w:t>
      </w:r>
      <w:r w:rsidRPr="00A90D24">
        <w:rPr>
          <w:rFonts w:ascii="AGaramondPro-Regular" w:hAnsi="AGaramondPro-Regular" w:cs="AGaramondPro-Regular"/>
          <w:sz w:val="19"/>
          <w:szCs w:val="19"/>
        </w:rPr>
        <w:t>87-88, 1975, p. 141 ; 144.</w:t>
      </w:r>
    </w:p>
    <w:p w14:paraId="6228CC66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Nous remercions le p. A. Guggenheim de nous avoir indiqué ce rapprochement).</w:t>
      </w:r>
    </w:p>
    <w:p w14:paraId="52364749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12. Georges Pompidou (1911-1974) : Président de la République française de 1969</w:t>
      </w:r>
    </w:p>
    <w:p w14:paraId="07599A62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à sa mort ; Edmond Maire (1931-2017) : secrétaire général du syndicat anciennement</w:t>
      </w:r>
    </w:p>
    <w:p w14:paraId="1384536F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chrétien devenu C.F.D.T. de 1971 à 1988 ; René Lenoir (1927-2017) : secrétaire</w:t>
      </w:r>
    </w:p>
    <w:p w14:paraId="568174C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d’État en 1974, auteur de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exclus. Un Français sur dix </w:t>
      </w:r>
      <w:r w:rsidRPr="00A90D24">
        <w:rPr>
          <w:rFonts w:ascii="AGaramondPro-Regular" w:hAnsi="AGaramondPro-Regular" w:cs="AGaramondPro-Regular"/>
          <w:sz w:val="19"/>
          <w:szCs w:val="19"/>
        </w:rPr>
        <w:t>(Paris, Seuil, 1974) dénoncé</w:t>
      </w:r>
    </w:p>
    <w:p w14:paraId="3F6A03FC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par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temps modernes </w:t>
      </w:r>
      <w:r w:rsidRPr="00A90D24">
        <w:rPr>
          <w:rFonts w:ascii="AGaramondPro-Regular" w:hAnsi="AGaramondPro-Regular" w:cs="AGaramondPro-Regular"/>
          <w:sz w:val="19"/>
          <w:szCs w:val="19"/>
        </w:rPr>
        <w:t>comme l’inspirateur des cités de transit.</w:t>
      </w:r>
    </w:p>
    <w:p w14:paraId="64E13428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</w:p>
    <w:p w14:paraId="6BA65260" w14:textId="77777777" w:rsidR="00107CD8" w:rsidRPr="00A90D24" w:rsidRDefault="00107CD8" w:rsidP="00107CD8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</w:p>
    <w:p w14:paraId="221BD6EC" w14:textId="77777777" w:rsidR="00107CD8" w:rsidRDefault="00107CD8"/>
    <w:sectPr w:rsidR="00107C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82D55" w14:textId="77777777" w:rsidR="006F12A0" w:rsidRDefault="006F12A0" w:rsidP="00107CD8">
      <w:pPr>
        <w:spacing w:after="0" w:line="240" w:lineRule="auto"/>
      </w:pPr>
      <w:r>
        <w:separator/>
      </w:r>
    </w:p>
  </w:endnote>
  <w:endnote w:type="continuationSeparator" w:id="0">
    <w:p w14:paraId="46369D22" w14:textId="77777777" w:rsidR="006F12A0" w:rsidRDefault="006F12A0" w:rsidP="0010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lack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-SC75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69636"/>
      <w:docPartObj>
        <w:docPartGallery w:val="Page Numbers (Bottom of Page)"/>
        <w:docPartUnique/>
      </w:docPartObj>
    </w:sdtPr>
    <w:sdtEndPr/>
    <w:sdtContent>
      <w:p w14:paraId="6F63CA88" w14:textId="3DCABB99" w:rsidR="00107CD8" w:rsidRDefault="00107C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5FCCF" w14:textId="77777777" w:rsidR="00107CD8" w:rsidRDefault="00107C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9E432" w14:textId="77777777" w:rsidR="006F12A0" w:rsidRDefault="006F12A0" w:rsidP="00107CD8">
      <w:pPr>
        <w:spacing w:after="0" w:line="240" w:lineRule="auto"/>
      </w:pPr>
      <w:r>
        <w:separator/>
      </w:r>
    </w:p>
  </w:footnote>
  <w:footnote w:type="continuationSeparator" w:id="0">
    <w:p w14:paraId="3960141C" w14:textId="77777777" w:rsidR="006F12A0" w:rsidRDefault="006F12A0" w:rsidP="0010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D8"/>
    <w:rsid w:val="00107CD8"/>
    <w:rsid w:val="006F12A0"/>
    <w:rsid w:val="009C1219"/>
    <w:rsid w:val="00BC0199"/>
    <w:rsid w:val="00DB6D49"/>
    <w:rsid w:val="00E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40A9"/>
  <w15:chartTrackingRefBased/>
  <w15:docId w15:val="{185FBD0E-AD42-45A9-BAAD-EB3036DF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CD8"/>
  </w:style>
  <w:style w:type="paragraph" w:styleId="Pieddepage">
    <w:name w:val="footer"/>
    <w:basedOn w:val="Normal"/>
    <w:link w:val="PieddepageCar"/>
    <w:uiPriority w:val="99"/>
    <w:unhideWhenUsed/>
    <w:rsid w:val="0010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3478</Words>
  <Characters>19134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Bénard</dc:creator>
  <cp:keywords/>
  <dc:description/>
  <cp:lastModifiedBy>CHRISTIAN</cp:lastModifiedBy>
  <cp:revision>3</cp:revision>
  <dcterms:created xsi:type="dcterms:W3CDTF">2021-01-18T08:00:00Z</dcterms:created>
  <dcterms:modified xsi:type="dcterms:W3CDTF">2021-01-18T08:08:00Z</dcterms:modified>
</cp:coreProperties>
</file>